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宋体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theme="minorEastAsia"/>
          <w:b/>
          <w:bCs/>
          <w:sz w:val="36"/>
          <w:szCs w:val="36"/>
          <w:lang w:val="en-US" w:eastAsia="zh-CN"/>
        </w:rPr>
        <w:t>重组人干扰素说明书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【产品名称】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中文名称：重组人干扰素（细胞培养级）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default" w:ascii="Times New Roman" w:hAnsi="Times New Roman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英文名称：Recombinant Human Interferon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eastAsia="zh-CN"/>
        </w:rPr>
        <w:t xml:space="preserve"> γ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（Cell Culture Grade）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编号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与规格】</w:t>
      </w:r>
    </w:p>
    <w:tbl>
      <w:tblPr>
        <w:tblStyle w:val="4"/>
        <w:tblW w:w="83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编号</w:t>
            </w:r>
          </w:p>
        </w:tc>
        <w:tc>
          <w:tcPr>
            <w:tcW w:w="41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RC-049</w:t>
            </w:r>
          </w:p>
        </w:tc>
        <w:tc>
          <w:tcPr>
            <w:tcW w:w="41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μg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/支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  <w:t>RC-050</w:t>
            </w:r>
          </w:p>
        </w:tc>
        <w:tc>
          <w:tcPr>
            <w:tcW w:w="41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1m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/支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【产品性状】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  <w:lang w:eastAsia="zh-CN"/>
        </w:rPr>
        <w:t>本产品为无菌冻干粉</w:t>
      </w:r>
      <w:r>
        <w:rPr>
          <w:rFonts w:hint="eastAsia"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产品简介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γ干扰素（IFN-γ）又称Ⅱ型干扰素或免疫干扰素，是一种主要由活化的T淋巴细胞和NK细胞产生的细胞因子，其生物学功能主要是免疫调节，诱导多种抗原提呈细胞表达MHC-I/II分子，活化单核、巨噬细胞并增强起溶菌活性及分泌IL-1,6,8，TNF-a等。IFN-γ还能活化中性粒细胞、NK细胞，刺激血管内皮细胞和白细胞合成的粘附分子，促进Th1细胞发育和抑制TH2细胞活化与增殖，刺激B细胞产生的抗体类型向调理素方向转变。人IFN-γ具有高度的种属特异性，仅在人和灵长类细胞中具有生物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产品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来源】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c</w:t>
      </w:r>
      <w:r>
        <w:rPr>
          <w:rFonts w:hint="default" w:ascii="Times New Roman" w:hAnsi="Times New Roman" w:eastAsia="宋体"/>
          <w:lang w:val="en-US" w:eastAsia="zh-CN"/>
        </w:rPr>
        <w:t>oli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default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【分子量】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>由144个氨基酸残基组成多肽链，分子量为16.8kDa。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【质量控制】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生物学活性：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&gt;1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x 10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vertAlign w:val="superscript"/>
          <w:lang w:val="en-US" w:eastAsia="zh-CN"/>
        </w:rPr>
        <w:t>7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lang w:eastAsia="zh-CN"/>
        </w:rPr>
        <w:t>IU/mg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t>纯 度：经高效液相色谱（SEC-HPLC）和SDS-PAGE检测，纯度大于9</w:t>
      </w:r>
      <w:r>
        <w:rPr>
          <w:rFonts w:hint="eastAsia" w:ascii="Times New Roman" w:hAnsi="Times New Roman" w:eastAsia="宋体"/>
          <w:lang w:val="en-US" w:eastAsia="zh-CN"/>
        </w:rPr>
        <w:t>8</w:t>
      </w:r>
      <w:r>
        <w:rPr>
          <w:rFonts w:hint="eastAsia" w:ascii="Times New Roman" w:hAnsi="Times New Roman" w:eastAsia="宋体"/>
          <w:lang w:eastAsia="zh-CN"/>
        </w:rPr>
        <w:t>.0%；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t>内 毒 素：</w:t>
      </w:r>
      <w:r>
        <w:rPr>
          <w:rFonts w:hint="eastAsia" w:ascii="Times New Roman" w:hAnsi="Times New Roman" w:eastAsia="宋体"/>
          <w:lang w:val="en-US" w:eastAsia="zh-CN"/>
        </w:rPr>
        <w:t>&lt;</w:t>
      </w:r>
      <w:r>
        <w:rPr>
          <w:rFonts w:hint="eastAsia" w:ascii="Times New Roman" w:hAnsi="Times New Roman" w:eastAsia="宋体"/>
          <w:lang w:eastAsia="zh-CN"/>
        </w:rPr>
        <w:t>0.1EU/</w:t>
      </w:r>
      <w:r>
        <w:rPr>
          <w:rFonts w:hint="default" w:ascii="Times New Roman" w:hAnsi="Times New Roman" w:eastAsia="宋体" w:cs="Times New Roman"/>
          <w:lang w:eastAsia="zh-CN"/>
        </w:rPr>
        <w:t>μ</w:t>
      </w:r>
      <w:r>
        <w:rPr>
          <w:rFonts w:hint="eastAsia" w:ascii="Times New Roman" w:hAnsi="Times New Roman" w:eastAsia="宋体"/>
          <w:lang w:eastAsia="zh-CN"/>
        </w:rPr>
        <w:t>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【使用与保存说明】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建议将</w:t>
      </w:r>
      <w:r>
        <w:rPr>
          <w:rFonts w:hint="eastAsia" w:ascii="Times New Roman" w:hAnsi="Times New Roman" w:eastAsia="宋体"/>
          <w:lang w:eastAsia="zh-CN"/>
        </w:rPr>
        <w:t>本产品</w:t>
      </w:r>
      <w:r>
        <w:rPr>
          <w:rFonts w:hint="eastAsia" w:ascii="Times New Roman" w:hAnsi="Times New Roman" w:eastAsia="宋体"/>
        </w:rPr>
        <w:t>溶解在灭菌的超纯水中，浓度不低于100μg/ml，以待进一步稀释至工作浓度。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复溶后的细胞因子：4℃可稳定储存7-10天</w:t>
      </w:r>
      <w:r>
        <w:rPr>
          <w:rFonts w:hint="eastAsia" w:ascii="Times New Roman" w:hAnsi="Times New Roman" w:eastAsia="宋体"/>
          <w:lang w:eastAsia="zh-CN"/>
        </w:rPr>
        <w:t>，</w:t>
      </w:r>
      <w:r>
        <w:rPr>
          <w:rFonts w:hint="eastAsia" w:ascii="Times New Roman" w:hAnsi="Times New Roman" w:eastAsia="宋体"/>
        </w:rPr>
        <w:t>长期保存请分装后存放于-20℃。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bCs/>
        </w:rPr>
        <w:t>避免反复冻融。</w:t>
      </w:r>
      <w:r>
        <w:rPr>
          <w:rFonts w:hint="eastAsia" w:ascii="Times New Roman" w:hAnsi="Times New Roman" w:eastAsia="宋体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【生产企业】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</w:rPr>
        <w:t>企业名称：</w:t>
      </w:r>
      <w:r>
        <w:rPr>
          <w:rFonts w:hint="eastAsia" w:ascii="Times New Roman" w:hAnsi="Times New Roman"/>
          <w:lang w:val="en-US" w:eastAsia="zh-CN"/>
        </w:rPr>
        <w:t>福建/厦门</w:t>
      </w:r>
      <w:r>
        <w:rPr>
          <w:rFonts w:hint="eastAsia" w:ascii="Times New Roman" w:hAnsi="Times New Roman"/>
        </w:rPr>
        <w:t>三一造血</w:t>
      </w:r>
      <w:r>
        <w:rPr>
          <w:rFonts w:hint="eastAsia" w:ascii="Times New Roman" w:hAnsi="Times New Roman"/>
          <w:lang w:val="en-US" w:eastAsia="zh-CN"/>
        </w:rPr>
        <w:t>技术有限公司</w:t>
      </w:r>
    </w:p>
    <w:p>
      <w:pPr>
        <w:spacing w:line="44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生产地址：福州</w:t>
      </w:r>
      <w:r>
        <w:rPr>
          <w:rFonts w:hint="eastAsia" w:ascii="Times New Roman" w:hAnsi="Times New Roman"/>
          <w:lang w:val="en-US" w:eastAsia="zh-CN"/>
        </w:rPr>
        <w:t>高新区海西园</w:t>
      </w:r>
      <w:r>
        <w:rPr>
          <w:rFonts w:hint="eastAsia" w:ascii="Times New Roman" w:hAnsi="Times New Roman"/>
        </w:rPr>
        <w:t>创新园10号楼</w:t>
      </w:r>
    </w:p>
    <w:p>
      <w:pPr>
        <w:spacing w:line="44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厦门市海沧区生物医药港B2栋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邮政编码：350108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电话号码：</w:t>
      </w:r>
      <w:r>
        <w:rPr>
          <w:rFonts w:hint="eastAsia" w:ascii="Times New Roman" w:hAnsi="Times New Roman"/>
          <w:lang w:val="en-US" w:eastAsia="zh-CN"/>
        </w:rPr>
        <w:t>13599953307</w:t>
      </w:r>
      <w:r>
        <w:rPr>
          <w:rFonts w:hint="eastAsia" w:ascii="Times New Roman" w:hAnsi="Times New Roman"/>
        </w:rPr>
        <w:t>/4001155980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邮箱地址：sales@stemery.cn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网址：http://www.stemery.cn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4318635</wp:posOffset>
            </wp:positionV>
            <wp:extent cx="1236980" cy="1236980"/>
            <wp:effectExtent l="0" t="0" r="1270" b="127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157" w:right="1519" w:bottom="1157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74"/>
        <w:tab w:val="clear" w:pos="4153"/>
      </w:tabs>
      <w:ind w:firstLine="4320" w:firstLineChars="2400"/>
      <w:rPr>
        <w:rFonts w:hint="eastAsia" w:asciiTheme="minorEastAsia" w:hAnsiTheme="minorEastAsia" w:eastAsiaTheme="minorEastAsia" w:cstheme="minorEastAsia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BA63E"/>
    <w:multiLevelType w:val="singleLevel"/>
    <w:tmpl w:val="C2CBA63E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24E7E"/>
    <w:rsid w:val="273B225E"/>
    <w:rsid w:val="2F2E415D"/>
    <w:rsid w:val="4C323DC6"/>
    <w:rsid w:val="72136C2E"/>
    <w:rsid w:val="79A5617C"/>
    <w:rsid w:val="7BA92AF2"/>
    <w:rsid w:val="7EA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yeye78</cp:lastModifiedBy>
  <dcterms:modified xsi:type="dcterms:W3CDTF">2021-10-06T16:09:22Z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8F5EEF4217934E16A1DC072C2D6598F2</vt:lpwstr>
  </property>
</Properties>
</file>